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каз-об-утверждении-перечня-должностей"/>
    <w:p>
      <w:pPr>
        <w:pStyle w:val="Heading3"/>
      </w:pPr>
      <w:r>
        <w:t xml:space="preserve">Приказ об утверждении перечня должностей</w:t>
      </w:r>
    </w:p>
    <w:p>
      <w:pPr>
        <w:pStyle w:val="FirstParagraph"/>
      </w:pPr>
      <w:r>
        <w:t xml:space="preserve">16.04.2024</w:t>
      </w:r>
    </w:p>
    <w:p>
      <w:pPr>
        <w:pStyle w:val="BodyText"/>
      </w:pPr>
      <w:r>
        <w:t xml:space="preserve">Список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 своих супруги (супруга) и несовершеннолетних детей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http://danilovsky.mos.ru/anti-corruption/information-on-income-expenses-about-property-and-obligations-of-property-character/detail/12318890.html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anti-corruption/information-on-income-expenses-about-property-and-obligations-of-property-character/detail/12318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anti-corruption/information-on-income-expenses-about-property-and-obligations-of-property-character/detail/12318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2025-04-15T09:11:05Z</dcterms:created>
  <dcterms:modified xsi:type="dcterms:W3CDTF">2025-04-15T09:11:05Z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