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29c211c2a5c20648ce696dafe1f42032d8ce09"/>
    <w:p>
      <w:pPr>
        <w:pStyle w:val="Heading3"/>
      </w:pPr>
      <w:r>
        <w:t xml:space="preserve">Памятка Генеральной прокуратуры Российской Федерации - Конфликт интересов на государственной и муниципальной службе</w:t>
      </w:r>
    </w:p>
    <w:p>
      <w:pPr>
        <w:pStyle w:val="FirstParagraph"/>
      </w:pPr>
      <w:r>
        <w:t xml:space="preserve">09.04.2024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http://danilovsky.mos.ru/anti-corruption/methodical-materials/detail/12303633.html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123036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123036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2025-07-30T23:28:59Z</dcterms:created>
  <dcterms:modified xsi:type="dcterms:W3CDTF">2025-07-30T23:28:59Z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