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b380e2abf8b081dc84d321a89849ef710109f1"/>
    <w:p>
      <w:pPr>
        <w:pStyle w:val="Heading3"/>
      </w:pPr>
      <w:r>
        <w:t xml:space="preserve">Памятка Генеральной прокуратуры Российской Федерации - Сведения о доходах, расходах, об имуществе и обязательствах имущественного характера</w:t>
      </w:r>
    </w:p>
    <w:p>
      <w:pPr>
        <w:pStyle w:val="FirstParagraph"/>
      </w:pPr>
      <w:r>
        <w:t xml:space="preserve">09.04.2024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http://danilovsky.mos.ru/anti-corruption/methodical-materials/detail/12303647.html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2025-04-15T09:10:55Z</dcterms:created>
  <dcterms:modified xsi:type="dcterms:W3CDTF">2025-04-15T09:10:55Z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