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bf5d41ccd69bf495a8712998dcfb3688f64b8d"/>
    <w:p>
      <w:pPr>
        <w:pStyle w:val="Heading3"/>
      </w:pPr>
      <w:r>
        <w:t xml:space="preserve">Обзор типовых ситуаций конфликта интересов на государственной гражданской службе Российской Федерации и порядка их урегулирования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2025-04-15T09:10:54Z</dcterms:created>
  <dcterms:modified xsi:type="dcterms:W3CDTF">2025-04-15T09:10:54Z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