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етодические-рекомендации"/>
    <w:p>
      <w:pPr>
        <w:pStyle w:val="Heading3"/>
      </w:pPr>
      <w:r>
        <w:t xml:space="preserve">Методические рекомендации</w:t>
      </w:r>
    </w:p>
    <w:p>
      <w:pPr>
        <w:pStyle w:val="FirstParagraph"/>
      </w:pPr>
      <w:r>
        <w:t xml:space="preserve">09.04.2024</w:t>
      </w:r>
    </w:p>
    <w:p>
      <w:pPr>
        <w:pStyle w:val="BodyText"/>
      </w:pPr>
      <w:r>
        <w:rPr>
          <w:bCs/>
          <w:b/>
        </w:rPr>
        <w:t xml:space="preserve">Методические рекомендации</w:t>
      </w:r>
    </w:p>
    <w:p>
      <w:pPr>
        <w:pStyle w:val="BodyText"/>
      </w:pPr>
      <w:r>
        <w:rPr>
          <w:bCs/>
          <w:b/>
        </w:rPr>
        <w:t xml:space="preserve">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http://danilovsky.mos.ru/anti-corruption/methodical-materials/detail/12303671.html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2025-04-15T09:10:54Z</dcterms:created>
  <dcterms:modified xsi:type="dcterms:W3CDTF">2025-04-15T09:10:54Z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