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ект-межевания-территории-квартала"/>
    <w:p>
      <w:pPr>
        <w:pStyle w:val="Heading3"/>
      </w:pPr>
      <w:r>
        <w:t xml:space="preserve">Проект межевания территории квартала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t xml:space="preserve">проект межевания территории квартала, ограниченного</w:t>
      </w:r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границей участка с кадастровым номером 77:05:0001011:4752, 4-м Рощинским проездом, улицей Новая Заря, границей территориальной зоны ПЗЗ.</w:t>
      </w:r>
    </w:p>
    <w:p>
      <w:pPr>
        <w:pStyle w:val="BodyText"/>
      </w:pPr>
      <w:r>
        <w:rPr>
          <w:bCs/>
          <w:b/>
        </w:rPr>
        <w:t xml:space="preserve">Проект прилагается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http://danilovsky.mos.ru/construction-reconstruction-and-land-use/materials-public-clusane/detail/8709818.html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materials-public-clusane/detail/8709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materials-public-clusane/detail/8709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2025-07-25T09:01:48Z</dcterms:created>
  <dcterms:modified xsi:type="dcterms:W3CDTF">2025-07-25T09:01:48Z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