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29-от-22.06.2015-г."/>
    <w:p>
      <w:pPr>
        <w:pStyle w:val="Heading3"/>
      </w:pPr>
      <w:r>
        <w:t xml:space="preserve">Протокол № 29 от 22.06.2015 г.</w:t>
      </w:r>
    </w:p>
    <w:p>
      <w:pPr>
        <w:pStyle w:val="FirstParagraph"/>
      </w:pPr>
      <w:r>
        <w:t xml:space="preserve">13.11.2015</w:t>
      </w:r>
    </w:p>
    <w:p>
      <w:pPr>
        <w:pStyle w:val="BodyText"/>
      </w:pPr>
      <w:r>
        <w:t xml:space="preserve">Протокол публичных слушаний № 29 от 22.06.2015 г. в Даниловском районе по проекту межевания квартала, ограниченного улицами: Ленинская Слобода, Мастеркова, Автозаводская, Велозаводская.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http://danilovsky.mos.ru/construction-reconstruction-and-land-use/regulations/detail/2298068.html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regulations/detail/2298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regulations/detail/2298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2025-04-15T09:10:38Z</dcterms:created>
  <dcterms:modified xsi:type="dcterms:W3CDTF">2025-04-15T09:10:38Z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