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" w:name="X3fc961d56528f371ade314295fa62cc61155f70"/>
    <w:p>
      <w:pPr>
        <w:pStyle w:val="Heading3"/>
      </w:pPr>
      <w:r>
        <w:t xml:space="preserve">Карта рисков антимонопольного законодательства на 2023 год</w:t>
      </w:r>
    </w:p>
    <w:p>
      <w:pPr>
        <w:pStyle w:val="FirstParagraph"/>
      </w:pPr>
      <w:r>
        <w:t xml:space="preserve">14.03.2023</w:t>
      </w:r>
    </w:p>
    <w:p>
      <w:pPr>
        <w:pStyle w:val="BodyText"/>
      </w:pPr>
      <w:r>
        <w:drawing>
          <wp:inline>
            <wp:extent cx="5334000" cy="3756978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danilovsky.mos.ru/www/Карта%20рисков%202023_page-0001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6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3">
        <w:r>
          <w:rPr>
            <w:rStyle w:val="Hyperlink"/>
          </w:rPr>
          <w:t xml:space="preserve">http://danilovsky.mos.ru/legislation/antitrust-compliance/detail/11462841.html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Управа Даниловского района города Москвы</w:t>
        </w:r>
      </w:hyperlink>
    </w:p>
    <w:bookmarkEnd w:id="2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hyperlink" Id="rId24" Target="http://danilovsky.mos.ru" TargetMode="External" /><Relationship Type="http://schemas.openxmlformats.org/officeDocument/2006/relationships/hyperlink" Id="rId23" Target="http://danilovsky.mos.ru/legislation/antitrust-compliance/detail/11462841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4" Target="http://danilovsky.mos.ru" TargetMode="External" /><Relationship Type="http://schemas.openxmlformats.org/officeDocument/2006/relationships/hyperlink" Id="rId23" Target="http://danilovsky.mos.ru/legislation/antitrust-compliance/detail/11462841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2025-04-14T07:49:42Z</dcterms:created>
  <dcterms:modified xsi:type="dcterms:W3CDTF">2025-04-14T07:49:42Z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