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77d6f0dba74162f7593f18ba2f4a39c28b0f874"/>
    <w:p>
      <w:pPr>
        <w:pStyle w:val="Heading3"/>
      </w:pPr>
      <w:r>
        <w:t xml:space="preserve">Карта рисков антимонопольного законодательства на 2024 год</w:t>
      </w:r>
    </w:p>
    <w:p>
      <w:pPr>
        <w:pStyle w:val="FirstParagraph"/>
      </w:pPr>
      <w:r>
        <w:t xml:space="preserve">14.03.2024</w:t>
      </w:r>
    </w:p>
    <w:p>
      <w:pPr>
        <w:pStyle w:val="BodyText"/>
      </w:pPr>
      <w:r>
        <w:drawing>
          <wp:inline>
            <wp:extent cx="5334000" cy="4121727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danilovsky.mos.ru/www/карта%20рисков%202024%20(1)_page-0001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1217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http://danilovsky.mos.ru/legislation/antitrust-compliance/detail/12240816.html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danilovsky.mos.ru" TargetMode="External" /><Relationship Type="http://schemas.openxmlformats.org/officeDocument/2006/relationships/hyperlink" Id="rId23" Target="http://danilovsky.mos.ru/legislation/antitrust-compliance/detail/1224081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danilovsky.mos.ru" TargetMode="External" /><Relationship Type="http://schemas.openxmlformats.org/officeDocument/2006/relationships/hyperlink" Id="rId23" Target="http://danilovsky.mos.ru/legislation/antitrust-compliance/detail/1224081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2025-07-18T19:59:39Z</dcterms:created>
  <dcterms:modified xsi:type="dcterms:W3CDTF">2025-07-18T19:59:39Z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