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116fc18a1e7e5797684f29edd28870c44f361"/>
    <w:p>
      <w:pPr>
        <w:pStyle w:val="Heading3"/>
      </w:pPr>
      <w:r>
        <w:t xml:space="preserve">Уведомление о начале сбора замечаний и предложений организаций и граждан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Даниловского района города Москвы в информационно-коммуникационной сети «Интернет» в блоке “Документы” в разделе «Антимонопольный комплаенс» размещены распоряжения управы Даниловского района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>
      <w:pPr>
        <w:pStyle w:val="BodyText"/>
      </w:pPr>
      <w:r>
        <w:t xml:space="preserve">Управой Даниловского района города Москвы в</w:t>
      </w:r>
      <w:r>
        <w:t xml:space="preserve"> </w:t>
      </w:r>
      <w:r>
        <w:rPr>
          <w:bCs/>
          <w:b/>
        </w:rPr>
        <w:t xml:space="preserve">период с мая по 31 августа 2024 года</w:t>
      </w:r>
      <w:r>
        <w:t xml:space="preserve"> </w:t>
      </w:r>
      <w:r>
        <w:t xml:space="preserve">проводятся сбор и анализ замечаний и предложений организаций и граждан по указанным правовым актам.</w:t>
      </w:r>
    </w:p>
    <w:p>
      <w:pPr>
        <w:pStyle w:val="BodyText"/>
      </w:pPr>
      <w:r>
        <w:t xml:space="preserve">Замечания и предложения по правовым актам направлять в адрес управы Даниловского района города Москвы: 115191, г.Москва, ул. Большая Тульская, д. 9 (замечания и предложения к правовым актам), а также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sodnl@mos.ru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http://danilovsky.mos.ru/legislation/antitrust-compliance/detail/12342765.html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12342765.html" TargetMode="External" /><Relationship Type="http://schemas.openxmlformats.org/officeDocument/2006/relationships/hyperlink" Id="rId20" Target="mailto:sodnl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legislation/antitrust-compliance/detail/12342765.html" TargetMode="External" /><Relationship Type="http://schemas.openxmlformats.org/officeDocument/2006/relationships/hyperlink" Id="rId20" Target="mailto:sodnl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2025-04-15T08:58:58Z</dcterms:created>
  <dcterms:modified xsi:type="dcterms:W3CDTF">2025-04-15T08:58:58Z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