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ухгалтерская-отчетность-за-2023-год"/>
    <w:p>
      <w:pPr>
        <w:pStyle w:val="Heading3"/>
      </w:pPr>
      <w:r>
        <w:t xml:space="preserve">Бухгалтерская отчетность за 2023 год</w:t>
      </w:r>
    </w:p>
    <w:p>
      <w:pPr>
        <w:pStyle w:val="FirstParagraph"/>
      </w:pPr>
      <w:r>
        <w:t xml:space="preserve">23.05.2023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http://danilovsky.mos.ru/legislation/bukhgalterskaya-otchyetnost/detail/11604456.html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bukhgalterskaya-otchyetnost/detail/11604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bukhgalterskaya-otchyetnost/detail/11604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2025-07-22T06:50:09Z</dcterms:created>
  <dcterms:modified xsi:type="dcterms:W3CDTF">2025-07-22T06:50:09Z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