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лендарный-план-на-i-квартал-2016-г."/>
    <w:p>
      <w:pPr>
        <w:pStyle w:val="Heading3"/>
      </w:pPr>
      <w:r>
        <w:t xml:space="preserve">Календарный план на I квартал 2016 г.</w:t>
      </w:r>
    </w:p>
    <w:p>
      <w:pPr>
        <w:pStyle w:val="FirstParagraph"/>
      </w:pPr>
      <w:r>
        <w:t xml:space="preserve">15.12.2015</w:t>
      </w:r>
    </w:p>
    <w:p>
      <w:pPr>
        <w:pStyle w:val="BodyText"/>
      </w:pPr>
      <w:r>
        <w:t xml:space="preserve">Календарный план по досуговой, социально-воспитательной, физкультурно-оздоровительной и спортивной работе с населением по месту жительства на I квартал 2016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http://danilovsky.mos.ru/organization-of-recreational-social-educational-sports-and-recreational-and-sports-work-with-populat/detail/2376802.html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23768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23768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2025-04-10T03:16:36Z</dcterms:created>
  <dcterms:modified xsi:type="dcterms:W3CDTF">2025-04-10T03:16:36Z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