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о-выплате-частичной-компенсации"/>
    <w:p>
      <w:pPr>
        <w:pStyle w:val="Heading3"/>
      </w:pPr>
      <w:r>
        <w:t xml:space="preserve">О выплате частичной компенсации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drawing>
          <wp:inline>
            <wp:extent cx="5334000" cy="75609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о%20ЧК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09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192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о%20ЧК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19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0149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о%20ЧК%2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01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2666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о%20ЧК%2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6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2299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danilovsky.mos.ru/www/Приказ%20о%20ЧК%2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http://danilovsky.mos.ru/organization-of-recreational-social-educational-sports-and-recreational-and-sports-work-with-populat/detail/2672890.html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danilovsky.mos.ru" TargetMode="External" /><Relationship Type="http://schemas.openxmlformats.org/officeDocument/2006/relationships/hyperlink" Id="rId35" Target="http://danilovsky.mos.ru/organization-of-recreational-social-educational-sports-and-recreational-and-sports-work-with-populat/detail/2672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danilovsky.mos.ru" TargetMode="External" /><Relationship Type="http://schemas.openxmlformats.org/officeDocument/2006/relationships/hyperlink" Id="rId35" Target="http://danilovsky.mos.ru/organization-of-recreational-social-educational-sports-and-recreational-and-sports-work-with-populat/detail/2672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2025-04-10T03:17:39Z</dcterms:created>
  <dcterms:modified xsi:type="dcterms:W3CDTF">2025-04-10T03:17:39Z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