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608501457a608b8c0418d3c8e1a592b4b433ac"/>
    <w:p>
      <w:pPr>
        <w:pStyle w:val="Heading3"/>
      </w:pPr>
      <w:r>
        <w:t xml:space="preserve">Более 1,1 миллиона федеральных льготников в Москве и Московской области получают набор социальных услуг в натуральном виде</w:t>
      </w:r>
    </w:p>
    <w:p>
      <w:pPr>
        <w:pStyle w:val="FirstParagraph"/>
      </w:pPr>
      <w:r>
        <w:t xml:space="preserve">30.06.2025</w:t>
      </w:r>
    </w:p>
    <w:p>
      <w:pPr>
        <w:pStyle w:val="BodyText"/>
      </w:pPr>
      <w:r>
        <w:t xml:space="preserve">Отделение СФР по Москве и Московской области предоставляет федеральным льготникам ежемесячную денежную выплату (ЕДВ), в состав которой входит набор социальных услуг (НСУ). Он включает в себя обеспечение лекарственными препаратами, санаторно-курортное лечение, проезд на междугородном транспорте к месту лечения и обратно, а также бесплатный проезд на пригородных поездах. На сегодняшний день свыше 1,1 миллиона жителей региона сохранили право на получение таких льгот в натуральном виде.</w:t>
      </w:r>
      <w:r>
        <w:t xml:space="preserve"> </w:t>
      </w:r>
      <w:r>
        <w:t xml:space="preserve">К федеральным льготникамотносятся инвалиды и участники Великой Отечественной войны, ветераны боевых действий, члены семей погибших или умерших участников Великой Отечественной войны и ветеранов боевых действий,дети и взрослые с любой группой инвалидности, жители блокадного Ленинграда, осажденного Севастополя и Сталинграда, а также пострадавшие в результате радиационных и техногенных катастроф и другие категории граждан.</w:t>
      </w:r>
      <w:r>
        <w:t xml:space="preserve"> </w:t>
      </w:r>
      <w:r>
        <w:t xml:space="preserve">По умолчанию набор социальных услуг предоставляется в натуральной форме. Исключение составляют граждане, подвергшиеся воздействию радиации и ветераны боевых действий, которым он изначально предоставляется в денежном эквиваленте. В дальнейшем льготник может самостоятельно выбрать, в какой форме он предпочитает получать НСУ. При этом он может заменить способ получения НСУ деньгами как полностью, так и частично.</w:t>
      </w:r>
      <w:r>
        <w:t xml:space="preserve"> </w:t>
      </w:r>
      <w:r>
        <w:t xml:space="preserve">В этом году стоимость НСУ составляет 1728,46 рублей. Из них за лекарства, медицинские изделия и питание положено 1331,30 рублей, за путевки — 205,95 рублей и за проезд — 191,21 рубль.</w:t>
      </w:r>
      <w:r>
        <w:t xml:space="preserve"> </w:t>
      </w:r>
      <w:r>
        <w:t xml:space="preserve">Размер денежного эквивалента не означает, что льготы в натуральном виде оказываются на такую же сумму. Они предоставляются в том объеме, который необходим льготнику.</w:t>
      </w:r>
      <w:r>
        <w:t xml:space="preserve"> </w:t>
      </w:r>
      <w:r>
        <w:t xml:space="preserve">Менять порядок получения социальных услуг можно ежегодно.Если льготник хочет изменить НСУ на 2026 год, ему необходимо до 1 октября 2025 года подать заявление через портал госуслуг, в клиентской службе Отделения СФР по Москве и Московской области или МФЦ. Если форма получения набора соцуслуг устраивает, и получатель не планирует ее менять на следующий год, подавать заявление не нужно.</w:t>
      </w:r>
      <w:r>
        <w:t xml:space="preserve"> </w:t>
      </w:r>
      <w:r>
        <w:t xml:space="preserve">Если остались вопросы, всегда можно обратиться в единый контакт-центр взаимодействия с гражданами по тел. 8 (800) 100-00-01 (звонок бесплатный), а также получить информацию, подписавшись на наши страницы в социальных сетях: ВКонтакте (https://vk.com/sfr.moskva.i.moskovskaya.oblast), Одноклассники (https://ok.ru/sfr.msk.i.moskobl), Телеграм (https://t.me/sfr_moskva_i_moskovskayaoblast).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http://danilovsky.mos.ru/presscenter/news/detail/13074547.html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Даниловского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anilovsky.mos.ru" TargetMode="External" /><Relationship Type="http://schemas.openxmlformats.org/officeDocument/2006/relationships/hyperlink" Id="rId20" Target="http://danilovsky.mos.ru/presscenter/news/detail/130745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anilovsky.mos.ru" TargetMode="External" /><Relationship Type="http://schemas.openxmlformats.org/officeDocument/2006/relationships/hyperlink" Id="rId20" Target="http://danilovsky.mos.ru/presscenter/news/detail/130745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2025-07-27T18:03:55Z</dcterms:created>
  <dcterms:modified xsi:type="dcterms:W3CDTF">2025-07-27T18:03:55Z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