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антинаркотическая-комиссия-информирует"/>
    <w:p>
      <w:pPr>
        <w:pStyle w:val="Heading3"/>
      </w:pPr>
      <w:r>
        <w:t xml:space="preserve">Антинаркотическая комиссия информирует</w:t>
      </w:r>
    </w:p>
    <w:p>
      <w:pPr>
        <w:pStyle w:val="FirstParagraph"/>
      </w:pPr>
      <w:r>
        <w:t xml:space="preserve">27.12.2023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pauk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http://danilovsky.mos.ru/safety-and-security/antinarkoticheskaya-komissiya/detail/12082537.html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safety-and-security/antinarkoticheskaya-komissiya/detail/12082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safety-and-security/antinarkoticheskaya-komissiya/detail/12082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2025-04-15T09:42:59Z</dcterms:created>
  <dcterms:modified xsi:type="dcterms:W3CDTF">2025-04-15T09:42:59Z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