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477e12f4d69ac484f0990e99ecf647e7ae77d6"/>
    <w:p>
      <w:pPr>
        <w:pStyle w:val="Heading3"/>
      </w:pPr>
      <w:r>
        <w:t xml:space="preserve">Памятка для родителей. Признаки вовлечения в наркотизацию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drawing>
          <wp:inline>
            <wp:extent cx="5334000" cy="38023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памятка%20наркотики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023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памятка%20наркотики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http://danilovsky.mos.ru/safety-and-security/antinarkoticheskaya-komissiya/detail/12321418.html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safety-and-security/antinarkoticheskaya-komissiya/detail/12321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safety-and-security/antinarkoticheskaya-komissiya/detail/12321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2025-04-15T09:14:15Z</dcterms:created>
  <dcterms:modified xsi:type="dcterms:W3CDTF">2025-04-15T09:14:15Z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