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e3f976f8eaf2c0a5481c088cb6d9b593503fac"/>
    <w:p>
      <w:pPr>
        <w:pStyle w:val="Heading3"/>
      </w:pPr>
      <w:r>
        <w:t xml:space="preserve">Об уголовной ответственности за преступления, связанные с незаконным оборотом наркотиков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drawing>
          <wp:inline>
            <wp:extent cx="5334000" cy="35901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Без%20названия%20(1)%20(1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0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454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Без%20названия%20(2)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5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http://danilovsky.mos.ru/safety-and-security/antinarkoticheskaya-komissiya/detail/12505169.html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safety-and-security/antinarkoticheskaya-komissiya/detail/12505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safety-and-security/antinarkoticheskaya-komissiya/detail/12505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2025-04-15T09:14:14Z</dcterms:created>
  <dcterms:modified xsi:type="dcterms:W3CDTF">2025-04-15T09:14:14Z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