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312bae53ea837fe4de31bd6e4613570ae315"/>
    <w:p>
      <w:pPr>
        <w:pStyle w:val="Heading3"/>
      </w:pPr>
      <w:r>
        <w:t xml:space="preserve">Ответственность за реализацию небезопасной детской продукции несет как изготовитель такой продукции, так и продавец.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</w:t>
      </w:r>
    </w:p>
    <w:p>
      <w:pPr>
        <w:pStyle w:val="BodyText"/>
      </w:pPr>
      <w:r>
        <w:t xml:space="preserve">и благополучия человека по городу Москве поступила информация о выявлении в обороте детской одежды (импортер - ООО «Международная торговая компания «ЛИ ХУА»), несоответствующей обязательным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ч.1 ст.36 Федерального закона от 27.12.2002 № 184-ФЗ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http://danilovsky.mos.ru/trade-and-service-sphere/officially/detail/11772361.html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1772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1772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2025-04-15T09:34:14Z</dcterms:created>
  <dcterms:modified xsi:type="dcterms:W3CDTF">2025-04-15T09:34:14Z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