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4c491e403cbf89b0db1ac275aa87377918521c"/>
    <w:p>
      <w:pPr>
        <w:pStyle w:val="Heading3"/>
      </w:pPr>
      <w:r>
        <w:t xml:space="preserve">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территории города Москвы</w:t>
      </w:r>
    </w:p>
    <w:p>
      <w:pPr>
        <w:pStyle w:val="FirstParagraph"/>
      </w:pPr>
      <w:r>
        <w:t xml:space="preserve">09.02.2024</w:t>
      </w:r>
    </w:p>
    <w:bookmarkEnd w:id="20"/>
    <w:bookmarkStart w:id="23" w:name="X7f03db2216a2c26c1792f99940a70619ec34ac6"/>
    <w:p>
      <w:pPr>
        <w:pStyle w:val="Heading1"/>
      </w:pPr>
      <w:r>
        <w:t xml:space="preserve">№ 1361-ПП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изменение внешнего архитектурного облика торговых центров (комплексов), расположенных на территории города Москвы»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http://danilovsky.mos.ru/trade-and-service-sphere/subektam-malogo-i-srednego-predprinimatelstva/finansovaya-podderzhka/detail/12158125.html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2158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2158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2025-07-22T02:09:17Z</dcterms:created>
  <dcterms:modified xsi:type="dcterms:W3CDTF">2025-07-22T02:09:17Z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